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F2B" w:rsidRPr="004F1F2B" w:rsidRDefault="004F1F2B" w:rsidP="004F1F2B">
      <w:pPr>
        <w:spacing w:before="100" w:beforeAutospacing="1" w:after="100" w:afterAutospacing="1" w:line="240" w:lineRule="auto"/>
        <w:rPr>
          <w:rFonts w:ascii="Times New Roman" w:eastAsia="Times New Roman" w:hAnsi="Times New Roman" w:cs="Times New Roman"/>
          <w:sz w:val="24"/>
          <w:szCs w:val="24"/>
          <w:lang w:eastAsia="pt-BR"/>
        </w:rPr>
      </w:pPr>
      <w:bookmarkStart w:id="0" w:name="_GoBack"/>
      <w:bookmarkEnd w:id="0"/>
    </w:p>
    <w:p w:rsidR="004F1F2B" w:rsidRPr="004F1F2B" w:rsidRDefault="004F1F2B" w:rsidP="004F1F2B">
      <w:pPr>
        <w:spacing w:before="60" w:after="60" w:line="240" w:lineRule="auto"/>
        <w:jc w:val="center"/>
        <w:rPr>
          <w:rFonts w:ascii="Times New Roman" w:eastAsia="Times New Roman" w:hAnsi="Times New Roman" w:cs="Times New Roman"/>
          <w:sz w:val="24"/>
          <w:szCs w:val="24"/>
          <w:lang w:eastAsia="pt-BR"/>
        </w:rPr>
      </w:pPr>
      <w:r w:rsidRPr="004F1F2B">
        <w:rPr>
          <w:rFonts w:ascii="Calibri" w:eastAsia="Times New Roman" w:hAnsi="Calibri" w:cs="Calibri"/>
          <w:b/>
          <w:bCs/>
          <w:sz w:val="24"/>
          <w:szCs w:val="24"/>
          <w:lang w:eastAsia="pt-BR"/>
        </w:rPr>
        <w:t>ANEXO VI</w:t>
      </w:r>
    </w:p>
    <w:p w:rsidR="004F1F2B" w:rsidRPr="004F1F2B" w:rsidRDefault="004F1F2B" w:rsidP="004F1F2B">
      <w:pPr>
        <w:spacing w:before="100" w:beforeAutospacing="1" w:after="100" w:afterAutospacing="1" w:line="240" w:lineRule="auto"/>
        <w:rPr>
          <w:rFonts w:ascii="Times New Roman" w:eastAsia="Times New Roman" w:hAnsi="Times New Roman" w:cs="Times New Roman"/>
          <w:sz w:val="24"/>
          <w:szCs w:val="24"/>
          <w:lang w:eastAsia="pt-BR"/>
        </w:rPr>
      </w:pPr>
    </w:p>
    <w:p w:rsidR="004F1F2B" w:rsidRPr="004F1F2B" w:rsidRDefault="004F1F2B" w:rsidP="004F1F2B">
      <w:pPr>
        <w:spacing w:before="60" w:after="60" w:line="240" w:lineRule="auto"/>
        <w:jc w:val="center"/>
        <w:rPr>
          <w:rFonts w:ascii="Times New Roman" w:eastAsia="Times New Roman" w:hAnsi="Times New Roman" w:cs="Times New Roman"/>
          <w:sz w:val="24"/>
          <w:szCs w:val="24"/>
          <w:lang w:eastAsia="pt-BR"/>
        </w:rPr>
      </w:pPr>
    </w:p>
    <w:p w:rsidR="004F1F2B" w:rsidRPr="004F1F2B" w:rsidRDefault="004F1F2B" w:rsidP="004F1F2B">
      <w:pPr>
        <w:spacing w:before="120" w:after="0" w:line="240" w:lineRule="auto"/>
        <w:jc w:val="center"/>
        <w:rPr>
          <w:rFonts w:ascii="Times New Roman" w:eastAsia="Times New Roman" w:hAnsi="Times New Roman" w:cs="Times New Roman"/>
          <w:sz w:val="24"/>
          <w:szCs w:val="24"/>
          <w:lang w:eastAsia="pt-BR"/>
        </w:rPr>
      </w:pPr>
      <w:r w:rsidRPr="004F1F2B">
        <w:rPr>
          <w:rFonts w:ascii="Calibri" w:eastAsia="Times New Roman" w:hAnsi="Calibri" w:cs="Calibri"/>
          <w:b/>
          <w:bCs/>
          <w:color w:val="000000"/>
          <w:sz w:val="24"/>
          <w:szCs w:val="24"/>
          <w:shd w:val="clear" w:color="auto" w:fill="FFFFFF"/>
          <w:lang w:eastAsia="pt-BR"/>
        </w:rPr>
        <w:t>MINUTA DE</w:t>
      </w:r>
      <w:r w:rsidRPr="004F1F2B">
        <w:rPr>
          <w:rFonts w:ascii="Arial" w:eastAsia="Times New Roman" w:hAnsi="Arial" w:cs="Arial"/>
          <w:i/>
          <w:iCs/>
          <w:color w:val="000000"/>
          <w:sz w:val="20"/>
          <w:szCs w:val="20"/>
          <w:shd w:val="clear" w:color="auto" w:fill="FFFFFF"/>
          <w:lang w:eastAsia="pt-BR"/>
        </w:rPr>
        <w:t xml:space="preserve"> </w:t>
      </w:r>
      <w:r w:rsidRPr="004F1F2B">
        <w:rPr>
          <w:rFonts w:ascii="Calibri" w:eastAsia="Times New Roman" w:hAnsi="Calibri" w:cs="Calibri"/>
          <w:b/>
          <w:bCs/>
          <w:color w:val="000000"/>
          <w:sz w:val="24"/>
          <w:szCs w:val="24"/>
          <w:shd w:val="clear" w:color="auto" w:fill="FFFFFF"/>
          <w:lang w:eastAsia="pt-BR"/>
        </w:rPr>
        <w:t>ATA DE REGISTRO DE PREÇOS</w:t>
      </w:r>
    </w:p>
    <w:p w:rsidR="004F1F2B" w:rsidRPr="004F1F2B" w:rsidRDefault="004F1F2B" w:rsidP="004F1F2B">
      <w:pPr>
        <w:spacing w:after="0" w:line="240" w:lineRule="auto"/>
        <w:jc w:val="center"/>
        <w:rPr>
          <w:rFonts w:ascii="Times New Roman" w:eastAsia="Times New Roman" w:hAnsi="Times New Roman" w:cs="Times New Roman"/>
          <w:sz w:val="24"/>
          <w:szCs w:val="24"/>
          <w:lang w:eastAsia="pt-BR"/>
        </w:rPr>
      </w:pPr>
    </w:p>
    <w:p w:rsidR="004F1F2B" w:rsidRPr="004F1F2B" w:rsidRDefault="004F1F2B" w:rsidP="004F1F2B">
      <w:pPr>
        <w:spacing w:before="285" w:after="285" w:line="240" w:lineRule="auto"/>
        <w:ind w:firstLine="567"/>
        <w:jc w:val="center"/>
        <w:rPr>
          <w:rFonts w:ascii="Times New Roman" w:eastAsia="Times New Roman" w:hAnsi="Times New Roman" w:cs="Times New Roman"/>
          <w:sz w:val="24"/>
          <w:szCs w:val="24"/>
          <w:lang w:eastAsia="pt-BR"/>
        </w:rPr>
      </w:pPr>
      <w:r w:rsidRPr="004F1F2B">
        <w:rPr>
          <w:rFonts w:ascii="Calibri" w:eastAsia="Times New Roman" w:hAnsi="Calibri" w:cs="Calibri"/>
          <w:b/>
          <w:bCs/>
          <w:sz w:val="24"/>
          <w:szCs w:val="24"/>
          <w:lang w:eastAsia="pt-BR"/>
        </w:rPr>
        <w:t>FUNDAÇÃO DE AMPARO À PESQUISA DO ESTADO DE SÃO PAULO - FAPESP</w:t>
      </w:r>
      <w:r w:rsidRPr="004F1F2B">
        <w:rPr>
          <w:rFonts w:ascii="Arial" w:eastAsia="Times New Roman" w:hAnsi="Arial" w:cs="Arial"/>
          <w:b/>
          <w:bCs/>
          <w:sz w:val="20"/>
          <w:szCs w:val="20"/>
          <w:lang w:eastAsia="pt-BR"/>
        </w:rPr>
        <w:t xml:space="preserve"> </w:t>
      </w:r>
    </w:p>
    <w:p w:rsidR="004F1F2B" w:rsidRPr="004F1F2B" w:rsidRDefault="004F1F2B" w:rsidP="004F1F2B">
      <w:pPr>
        <w:spacing w:before="285" w:after="285" w:line="240" w:lineRule="auto"/>
        <w:ind w:firstLine="567"/>
        <w:jc w:val="center"/>
        <w:rPr>
          <w:rFonts w:ascii="Times New Roman" w:eastAsia="Times New Roman" w:hAnsi="Times New Roman" w:cs="Times New Roman"/>
          <w:sz w:val="24"/>
          <w:szCs w:val="24"/>
          <w:lang w:eastAsia="pt-BR"/>
        </w:rPr>
      </w:pPr>
      <w:r w:rsidRPr="004F1F2B">
        <w:rPr>
          <w:rFonts w:ascii="Calibri" w:eastAsia="Times New Roman" w:hAnsi="Calibri" w:cs="Calibri"/>
          <w:b/>
          <w:bCs/>
          <w:sz w:val="24"/>
          <w:szCs w:val="24"/>
          <w:lang w:eastAsia="pt-BR"/>
        </w:rPr>
        <w:t>ATA DE REGISTRO DE PREÇOS Nº XX/2024</w:t>
      </w:r>
    </w:p>
    <w:p w:rsidR="004F1F2B" w:rsidRPr="004F1F2B" w:rsidRDefault="004F1F2B" w:rsidP="004F1F2B">
      <w:pPr>
        <w:spacing w:before="285" w:after="285" w:line="240" w:lineRule="auto"/>
        <w:ind w:firstLine="567"/>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Processo Administrativo SEI nº 255.00000314/2024-88</w:t>
      </w:r>
    </w:p>
    <w:p w:rsidR="004F1F2B" w:rsidRPr="004F1F2B" w:rsidRDefault="004F1F2B" w:rsidP="004F1F2B">
      <w:pPr>
        <w:spacing w:after="0" w:line="240" w:lineRule="auto"/>
        <w:ind w:right="-30"/>
        <w:jc w:val="both"/>
        <w:rPr>
          <w:rFonts w:ascii="Times New Roman" w:eastAsia="Times New Roman" w:hAnsi="Times New Roman" w:cs="Times New Roman"/>
          <w:sz w:val="24"/>
          <w:szCs w:val="24"/>
          <w:lang w:eastAsia="pt-BR"/>
        </w:rPr>
      </w:pPr>
    </w:p>
    <w:p w:rsidR="004F1F2B" w:rsidRPr="004F1F2B" w:rsidRDefault="004F1F2B" w:rsidP="004F1F2B">
      <w:pPr>
        <w:spacing w:before="120" w:after="120" w:line="240" w:lineRule="auto"/>
        <w:ind w:right="-30" w:firstLine="1418"/>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A </w:t>
      </w:r>
      <w:r w:rsidRPr="004F1F2B">
        <w:rPr>
          <w:rFonts w:ascii="Calibri" w:eastAsia="Times New Roman" w:hAnsi="Calibri" w:cs="Calibri"/>
          <w:b/>
          <w:bCs/>
          <w:sz w:val="24"/>
          <w:szCs w:val="24"/>
          <w:lang w:eastAsia="pt-BR"/>
        </w:rPr>
        <w:t>Fundação de Amparo à Pesquisa do Estado de São Paulo - FAPESP,</w:t>
      </w:r>
      <w:r w:rsidRPr="004F1F2B">
        <w:rPr>
          <w:rFonts w:ascii="Calibri" w:eastAsia="Times New Roman" w:hAnsi="Calibri" w:cs="Calibri"/>
          <w:sz w:val="24"/>
          <w:szCs w:val="24"/>
          <w:lang w:eastAsia="pt-BR"/>
        </w:rPr>
        <w:t xml:space="preserve"> instituída pela Lei Estadual n.º 5.918, de 18 de outubro de 1960, com sede na Rua Pio XI, n.º 1.500, Alto da Lapa, em São Paulo, SP, inscrita no CNPJ/MF sob n.º 43.828.151/0001-45, neste ato representada por seu Diretor Administrativo, Fernando Dias Menezes de Almeida, brasileiro, casado, portador do CPF n.º XXX.506.XXX-21, no uso da competência conferida pela legislação aplicável, considerando o resultado obtido através do Aviso de Contratação Direta nº 90003 /2024, parte do processo administrativo n.º 255.00000314/2024-88,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 </w:t>
      </w:r>
      <w:proofErr w:type="spellStart"/>
      <w:r w:rsidRPr="004F1F2B">
        <w:rPr>
          <w:rFonts w:ascii="Calibri" w:eastAsia="Times New Roman" w:hAnsi="Calibri" w:cs="Calibri"/>
          <w:sz w:val="24"/>
          <w:szCs w:val="24"/>
          <w:lang w:eastAsia="pt-BR"/>
        </w:rPr>
        <w:t>tes</w:t>
      </w:r>
      <w:proofErr w:type="spellEnd"/>
      <w:r w:rsidRPr="004F1F2B">
        <w:rPr>
          <w:rFonts w:ascii="Calibri" w:eastAsia="Times New Roman" w:hAnsi="Calibri" w:cs="Calibri"/>
          <w:sz w:val="24"/>
          <w:szCs w:val="24"/>
          <w:lang w:eastAsia="pt-BR"/>
        </w:rPr>
        <w:t xml:space="preserve"> às normas constantes na Lei nº 14.133, de 1º de abril de 2021, no Decreto estadual nº 67.608, de 27 de março de 2023, c/c o Decreto nº 11.462, de 31 de março de 2023, e demais preceitos da legislação aplicável, e em conformidade com as disposições a seguir, de acordo com as subdivisões na forma de itens que compõem este instrumento:</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color w:val="000000"/>
          <w:sz w:val="24"/>
          <w:szCs w:val="24"/>
          <w:lang w:eastAsia="pt-BR"/>
        </w:rPr>
        <w:t xml:space="preserve">1. </w:t>
      </w:r>
      <w:r w:rsidRPr="004F1F2B">
        <w:rPr>
          <w:rFonts w:ascii="Calibri" w:eastAsia="Times New Roman" w:hAnsi="Calibri" w:cs="Calibri"/>
          <w:color w:val="000000"/>
          <w:sz w:val="24"/>
          <w:szCs w:val="24"/>
          <w:lang w:eastAsia="pt-BR"/>
        </w:rPr>
        <w:t>DO OBJETO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 A presente Ata tem por objeto o registro de preços para a eventual contratação de artigos de mesa (copos descartáveis), conforme o detalhamento e as especificações técnicas constantes do Termo de Referência, Anexo I do Aviso de Contratação Direta nº 90003 /2024, que é parte integrante desta Ata, assim como as propostas cujos preços tenham sido registrados, independentemente de transcrição.</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color w:val="000000"/>
          <w:sz w:val="24"/>
          <w:szCs w:val="24"/>
          <w:lang w:eastAsia="pt-BR"/>
        </w:rPr>
        <w:t xml:space="preserve">2. </w:t>
      </w:r>
      <w:r w:rsidRPr="004F1F2B">
        <w:rPr>
          <w:rFonts w:ascii="Calibri" w:eastAsia="Times New Roman" w:hAnsi="Calibri" w:cs="Calibri"/>
          <w:color w:val="000000"/>
          <w:sz w:val="24"/>
          <w:szCs w:val="24"/>
          <w:lang w:eastAsia="pt-BR"/>
        </w:rPr>
        <w:t>DOS PREÇOS, ESPECIFICAÇÕES E QUANTITATIVOS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bookmarkStart w:id="1" w:name="_Hlk158050763"/>
      <w:r w:rsidRPr="004F1F2B">
        <w:rPr>
          <w:rFonts w:ascii="Calibri" w:eastAsia="Times New Roman" w:hAnsi="Calibri" w:cs="Calibri"/>
          <w:sz w:val="24"/>
          <w:szCs w:val="24"/>
          <w:lang w:eastAsia="pt-BR"/>
        </w:rPr>
        <w:t xml:space="preserve">2.1. O preço registrado, as especificações do objeto, a quantidade mínima a ser cotada, a quantidade máxima de cada item que poderá ser contratada, </w:t>
      </w:r>
      <w:proofErr w:type="gramStart"/>
      <w:r w:rsidRPr="004F1F2B">
        <w:rPr>
          <w:rFonts w:ascii="Calibri" w:eastAsia="Times New Roman" w:hAnsi="Calibri" w:cs="Calibri"/>
          <w:sz w:val="24"/>
          <w:szCs w:val="24"/>
          <w:lang w:eastAsia="pt-BR"/>
        </w:rPr>
        <w:t>fornecedor(</w:t>
      </w:r>
      <w:proofErr w:type="gramEnd"/>
      <w:r w:rsidRPr="004F1F2B">
        <w:rPr>
          <w:rFonts w:ascii="Calibri" w:eastAsia="Times New Roman" w:hAnsi="Calibri" w:cs="Calibri"/>
          <w:sz w:val="24"/>
          <w:szCs w:val="24"/>
          <w:lang w:eastAsia="pt-BR"/>
        </w:rPr>
        <w:t xml:space="preserve">es) e as demais condições ofertadas na(s) proposta(s) são as que seguem: </w:t>
      </w:r>
      <w:bookmarkEnd w:id="1"/>
    </w:p>
    <w:tbl>
      <w:tblPr>
        <w:tblW w:w="5000" w:type="pct"/>
        <w:tblCellMar>
          <w:top w:w="15" w:type="dxa"/>
          <w:left w:w="15" w:type="dxa"/>
          <w:bottom w:w="15" w:type="dxa"/>
          <w:right w:w="15" w:type="dxa"/>
        </w:tblCellMar>
        <w:tblLook w:val="04A0" w:firstRow="1" w:lastRow="0" w:firstColumn="1" w:lastColumn="0" w:noHBand="0" w:noVBand="1"/>
      </w:tblPr>
      <w:tblGrid>
        <w:gridCol w:w="474"/>
        <w:gridCol w:w="2064"/>
        <w:gridCol w:w="1045"/>
        <w:gridCol w:w="1045"/>
        <w:gridCol w:w="1046"/>
        <w:gridCol w:w="1173"/>
        <w:gridCol w:w="1641"/>
      </w:tblGrid>
      <w:tr w:rsidR="004F1F2B" w:rsidRPr="004F1F2B" w:rsidTr="004F1F2B">
        <w:trPr>
          <w:trHeight w:val="675"/>
        </w:trPr>
        <w:tc>
          <w:tcPr>
            <w:tcW w:w="5000" w:type="pct"/>
            <w:gridSpan w:val="7"/>
            <w:tcBorders>
              <w:top w:val="single" w:sz="6" w:space="0" w:color="000000"/>
              <w:left w:val="single" w:sz="6" w:space="0" w:color="000000"/>
              <w:bottom w:val="single" w:sz="6" w:space="0" w:color="000000"/>
              <w:right w:val="single" w:sz="6" w:space="0" w:color="000000"/>
            </w:tcBorders>
            <w:tcMar>
              <w:top w:w="0" w:type="dxa"/>
              <w:left w:w="11" w:type="dxa"/>
              <w:bottom w:w="0" w:type="dxa"/>
              <w:right w:w="11" w:type="dxa"/>
            </w:tcMar>
            <w:vAlign w:val="center"/>
            <w:hideMark/>
          </w:tcPr>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lastRenderedPageBreak/>
              <w:t>Fornecedor ____________________ (nome empresarial ou denominação, CNPJ/MF, endereço, contatos, representante)</w:t>
            </w:r>
          </w:p>
        </w:tc>
      </w:tr>
      <w:tr w:rsidR="004F1F2B" w:rsidRPr="004F1F2B" w:rsidTr="004F1F2B">
        <w:trPr>
          <w:trHeight w:val="675"/>
        </w:trPr>
        <w:tc>
          <w:tcPr>
            <w:tcW w:w="200" w:type="pct"/>
            <w:tcBorders>
              <w:top w:val="nil"/>
              <w:left w:val="single" w:sz="6" w:space="0" w:color="000000"/>
              <w:bottom w:val="single" w:sz="6" w:space="0" w:color="000000"/>
              <w:right w:val="nil"/>
            </w:tcBorders>
            <w:tcMar>
              <w:top w:w="0" w:type="dxa"/>
              <w:left w:w="11" w:type="dxa"/>
              <w:bottom w:w="0" w:type="dxa"/>
              <w:right w:w="11" w:type="dxa"/>
            </w:tcMar>
            <w:vAlign w:val="center"/>
            <w:hideMark/>
          </w:tcPr>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Item</w:t>
            </w:r>
          </w:p>
        </w:tc>
        <w:tc>
          <w:tcPr>
            <w:tcW w:w="1250" w:type="pct"/>
            <w:tcBorders>
              <w:top w:val="nil"/>
              <w:left w:val="single" w:sz="6" w:space="0" w:color="000000"/>
              <w:bottom w:val="single" w:sz="6" w:space="0" w:color="000000"/>
              <w:right w:val="nil"/>
            </w:tcBorders>
            <w:tcMar>
              <w:top w:w="0" w:type="dxa"/>
              <w:left w:w="11" w:type="dxa"/>
              <w:bottom w:w="0" w:type="dxa"/>
              <w:right w:w="11" w:type="dxa"/>
            </w:tcMar>
            <w:vAlign w:val="center"/>
            <w:hideMark/>
          </w:tcPr>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Especificação</w:t>
            </w:r>
          </w:p>
        </w:tc>
        <w:tc>
          <w:tcPr>
            <w:tcW w:w="650" w:type="pct"/>
            <w:tcBorders>
              <w:top w:val="nil"/>
              <w:left w:val="single" w:sz="6" w:space="0" w:color="000000"/>
              <w:bottom w:val="single" w:sz="6" w:space="0" w:color="000000"/>
              <w:right w:val="nil"/>
            </w:tcBorders>
            <w:tcMar>
              <w:top w:w="0" w:type="dxa"/>
              <w:left w:w="11" w:type="dxa"/>
              <w:bottom w:w="0" w:type="dxa"/>
              <w:right w:w="11" w:type="dxa"/>
            </w:tcMar>
            <w:vAlign w:val="center"/>
            <w:hideMark/>
          </w:tcPr>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Marca</w:t>
            </w:r>
          </w:p>
        </w:tc>
        <w:tc>
          <w:tcPr>
            <w:tcW w:w="650" w:type="pct"/>
            <w:tcBorders>
              <w:top w:val="nil"/>
              <w:left w:val="single" w:sz="6" w:space="0" w:color="000000"/>
              <w:bottom w:val="single" w:sz="6" w:space="0" w:color="000000"/>
              <w:right w:val="nil"/>
            </w:tcBorders>
            <w:tcMar>
              <w:top w:w="0" w:type="dxa"/>
              <w:left w:w="11" w:type="dxa"/>
              <w:bottom w:w="0" w:type="dxa"/>
              <w:right w:w="11" w:type="dxa"/>
            </w:tcMar>
            <w:vAlign w:val="center"/>
            <w:hideMark/>
          </w:tcPr>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Modelo</w:t>
            </w:r>
          </w:p>
        </w:tc>
        <w:tc>
          <w:tcPr>
            <w:tcW w:w="650" w:type="pct"/>
            <w:tcBorders>
              <w:top w:val="nil"/>
              <w:left w:val="single" w:sz="6" w:space="0" w:color="000000"/>
              <w:bottom w:val="single" w:sz="6" w:space="0" w:color="000000"/>
              <w:right w:val="nil"/>
            </w:tcBorders>
            <w:tcMar>
              <w:top w:w="0" w:type="dxa"/>
              <w:left w:w="11" w:type="dxa"/>
              <w:bottom w:w="0" w:type="dxa"/>
              <w:right w:w="11" w:type="dxa"/>
            </w:tcMar>
            <w:vAlign w:val="center"/>
            <w:hideMark/>
          </w:tcPr>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Unidade</w:t>
            </w:r>
          </w:p>
        </w:tc>
        <w:tc>
          <w:tcPr>
            <w:tcW w:w="600" w:type="pct"/>
            <w:tcBorders>
              <w:top w:val="nil"/>
              <w:left w:val="single" w:sz="6" w:space="0" w:color="000000"/>
              <w:bottom w:val="single" w:sz="6" w:space="0" w:color="000000"/>
              <w:right w:val="single" w:sz="6" w:space="0" w:color="000000"/>
            </w:tcBorders>
            <w:tcMar>
              <w:top w:w="0" w:type="dxa"/>
              <w:left w:w="11" w:type="dxa"/>
              <w:bottom w:w="0" w:type="dxa"/>
              <w:right w:w="11" w:type="dxa"/>
            </w:tcMar>
            <w:vAlign w:val="center"/>
            <w:hideMark/>
          </w:tcPr>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Quantidade cotada</w:t>
            </w:r>
          </w:p>
        </w:tc>
        <w:tc>
          <w:tcPr>
            <w:tcW w:w="800" w:type="pct"/>
            <w:tcBorders>
              <w:top w:val="nil"/>
              <w:left w:val="nil"/>
              <w:bottom w:val="single" w:sz="6" w:space="0" w:color="000000"/>
              <w:right w:val="single" w:sz="6" w:space="0" w:color="000000"/>
            </w:tcBorders>
            <w:tcMar>
              <w:top w:w="0" w:type="dxa"/>
              <w:left w:w="11" w:type="dxa"/>
              <w:bottom w:w="0" w:type="dxa"/>
              <w:right w:w="11" w:type="dxa"/>
            </w:tcMar>
            <w:vAlign w:val="center"/>
            <w:hideMark/>
          </w:tcPr>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Valor Unitário</w:t>
            </w:r>
          </w:p>
        </w:tc>
      </w:tr>
      <w:tr w:rsidR="004F1F2B" w:rsidRPr="004F1F2B" w:rsidTr="004F1F2B">
        <w:trPr>
          <w:trHeight w:val="180"/>
        </w:trPr>
        <w:tc>
          <w:tcPr>
            <w:tcW w:w="200" w:type="pct"/>
            <w:tcBorders>
              <w:top w:val="nil"/>
              <w:left w:val="single" w:sz="6" w:space="0" w:color="000000"/>
              <w:bottom w:val="single" w:sz="6" w:space="0" w:color="000000"/>
              <w:right w:val="nil"/>
            </w:tcBorders>
            <w:tcMar>
              <w:top w:w="0" w:type="dxa"/>
              <w:left w:w="11" w:type="dxa"/>
              <w:bottom w:w="0" w:type="dxa"/>
              <w:right w:w="11" w:type="dxa"/>
            </w:tcMar>
            <w:hideMark/>
          </w:tcPr>
          <w:p w:rsidR="004F1F2B" w:rsidRPr="004F1F2B" w:rsidRDefault="004F1F2B" w:rsidP="004F1F2B">
            <w:pPr>
              <w:spacing w:after="0" w:line="240" w:lineRule="auto"/>
              <w:ind w:right="-30"/>
              <w:jc w:val="both"/>
              <w:rPr>
                <w:rFonts w:ascii="Times New Roman" w:eastAsia="Times New Roman" w:hAnsi="Times New Roman" w:cs="Times New Roman"/>
                <w:sz w:val="24"/>
                <w:szCs w:val="24"/>
                <w:lang w:eastAsia="pt-BR"/>
              </w:rPr>
            </w:pPr>
          </w:p>
        </w:tc>
        <w:tc>
          <w:tcPr>
            <w:tcW w:w="1250" w:type="pct"/>
            <w:tcBorders>
              <w:top w:val="nil"/>
              <w:left w:val="single" w:sz="6" w:space="0" w:color="000000"/>
              <w:bottom w:val="single" w:sz="6" w:space="0" w:color="000000"/>
              <w:right w:val="nil"/>
            </w:tcBorders>
            <w:tcMar>
              <w:top w:w="0" w:type="dxa"/>
              <w:left w:w="11" w:type="dxa"/>
              <w:bottom w:w="0" w:type="dxa"/>
              <w:right w:w="11" w:type="dxa"/>
            </w:tcMar>
            <w:hideMark/>
          </w:tcPr>
          <w:p w:rsidR="004F1F2B" w:rsidRPr="004F1F2B" w:rsidRDefault="004F1F2B" w:rsidP="004F1F2B">
            <w:pPr>
              <w:spacing w:after="0" w:line="240" w:lineRule="auto"/>
              <w:ind w:right="-30"/>
              <w:jc w:val="both"/>
              <w:rPr>
                <w:rFonts w:ascii="Times New Roman" w:eastAsia="Times New Roman" w:hAnsi="Times New Roman" w:cs="Times New Roman"/>
                <w:sz w:val="24"/>
                <w:szCs w:val="24"/>
                <w:lang w:eastAsia="pt-BR"/>
              </w:rPr>
            </w:pPr>
          </w:p>
        </w:tc>
        <w:tc>
          <w:tcPr>
            <w:tcW w:w="650" w:type="pct"/>
            <w:tcBorders>
              <w:top w:val="nil"/>
              <w:left w:val="single" w:sz="6" w:space="0" w:color="000000"/>
              <w:bottom w:val="single" w:sz="6" w:space="0" w:color="000000"/>
              <w:right w:val="nil"/>
            </w:tcBorders>
            <w:tcMar>
              <w:top w:w="0" w:type="dxa"/>
              <w:left w:w="11" w:type="dxa"/>
              <w:bottom w:w="0" w:type="dxa"/>
              <w:right w:w="11" w:type="dxa"/>
            </w:tcMar>
            <w:hideMark/>
          </w:tcPr>
          <w:p w:rsidR="004F1F2B" w:rsidRPr="004F1F2B" w:rsidRDefault="004F1F2B" w:rsidP="004F1F2B">
            <w:pPr>
              <w:spacing w:after="0" w:line="240" w:lineRule="auto"/>
              <w:ind w:right="-30"/>
              <w:jc w:val="both"/>
              <w:rPr>
                <w:rFonts w:ascii="Times New Roman" w:eastAsia="Times New Roman" w:hAnsi="Times New Roman" w:cs="Times New Roman"/>
                <w:sz w:val="24"/>
                <w:szCs w:val="24"/>
                <w:lang w:eastAsia="pt-BR"/>
              </w:rPr>
            </w:pPr>
          </w:p>
        </w:tc>
        <w:tc>
          <w:tcPr>
            <w:tcW w:w="650" w:type="pct"/>
            <w:tcBorders>
              <w:top w:val="nil"/>
              <w:left w:val="single" w:sz="6" w:space="0" w:color="000000"/>
              <w:bottom w:val="single" w:sz="6" w:space="0" w:color="000000"/>
              <w:right w:val="nil"/>
            </w:tcBorders>
            <w:tcMar>
              <w:top w:w="0" w:type="dxa"/>
              <w:left w:w="11" w:type="dxa"/>
              <w:bottom w:w="0" w:type="dxa"/>
              <w:right w:w="11" w:type="dxa"/>
            </w:tcMar>
            <w:hideMark/>
          </w:tcPr>
          <w:p w:rsidR="004F1F2B" w:rsidRPr="004F1F2B" w:rsidRDefault="004F1F2B" w:rsidP="004F1F2B">
            <w:pPr>
              <w:spacing w:after="0" w:line="240" w:lineRule="auto"/>
              <w:ind w:right="-30"/>
              <w:jc w:val="both"/>
              <w:rPr>
                <w:rFonts w:ascii="Times New Roman" w:eastAsia="Times New Roman" w:hAnsi="Times New Roman" w:cs="Times New Roman"/>
                <w:sz w:val="24"/>
                <w:szCs w:val="24"/>
                <w:lang w:eastAsia="pt-BR"/>
              </w:rPr>
            </w:pPr>
          </w:p>
        </w:tc>
        <w:tc>
          <w:tcPr>
            <w:tcW w:w="650" w:type="pct"/>
            <w:tcBorders>
              <w:top w:val="nil"/>
              <w:left w:val="single" w:sz="6" w:space="0" w:color="000000"/>
              <w:bottom w:val="single" w:sz="6" w:space="0" w:color="000000"/>
              <w:right w:val="nil"/>
            </w:tcBorders>
            <w:tcMar>
              <w:top w:w="0" w:type="dxa"/>
              <w:left w:w="11" w:type="dxa"/>
              <w:bottom w:w="0" w:type="dxa"/>
              <w:right w:w="11" w:type="dxa"/>
            </w:tcMar>
            <w:hideMark/>
          </w:tcPr>
          <w:p w:rsidR="004F1F2B" w:rsidRPr="004F1F2B" w:rsidRDefault="004F1F2B" w:rsidP="004F1F2B">
            <w:pPr>
              <w:spacing w:after="0" w:line="240" w:lineRule="auto"/>
              <w:ind w:right="-30"/>
              <w:jc w:val="both"/>
              <w:rPr>
                <w:rFonts w:ascii="Times New Roman" w:eastAsia="Times New Roman" w:hAnsi="Times New Roman" w:cs="Times New Roman"/>
                <w:sz w:val="24"/>
                <w:szCs w:val="24"/>
                <w:lang w:eastAsia="pt-BR"/>
              </w:rPr>
            </w:pPr>
          </w:p>
        </w:tc>
        <w:tc>
          <w:tcPr>
            <w:tcW w:w="600" w:type="pct"/>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4F1F2B" w:rsidRPr="004F1F2B" w:rsidRDefault="004F1F2B" w:rsidP="004F1F2B">
            <w:pPr>
              <w:spacing w:after="0" w:line="240" w:lineRule="auto"/>
              <w:ind w:right="-30"/>
              <w:jc w:val="both"/>
              <w:rPr>
                <w:rFonts w:ascii="Times New Roman" w:eastAsia="Times New Roman" w:hAnsi="Times New Roman" w:cs="Times New Roman"/>
                <w:sz w:val="24"/>
                <w:szCs w:val="24"/>
                <w:lang w:eastAsia="pt-BR"/>
              </w:rPr>
            </w:pPr>
          </w:p>
        </w:tc>
        <w:tc>
          <w:tcPr>
            <w:tcW w:w="800" w:type="pct"/>
            <w:tcBorders>
              <w:top w:val="nil"/>
              <w:left w:val="nil"/>
              <w:bottom w:val="single" w:sz="6" w:space="0" w:color="000000"/>
              <w:right w:val="single" w:sz="6" w:space="0" w:color="000000"/>
            </w:tcBorders>
            <w:tcMar>
              <w:top w:w="0" w:type="dxa"/>
              <w:left w:w="11" w:type="dxa"/>
              <w:bottom w:w="0" w:type="dxa"/>
              <w:right w:w="11" w:type="dxa"/>
            </w:tcMar>
            <w:hideMark/>
          </w:tcPr>
          <w:p w:rsidR="004F1F2B" w:rsidRPr="004F1F2B" w:rsidRDefault="004F1F2B" w:rsidP="004F1F2B">
            <w:pPr>
              <w:spacing w:after="0" w:line="240" w:lineRule="auto"/>
              <w:ind w:right="-30"/>
              <w:jc w:val="both"/>
              <w:rPr>
                <w:rFonts w:ascii="Times New Roman" w:eastAsia="Times New Roman" w:hAnsi="Times New Roman" w:cs="Times New Roman"/>
                <w:sz w:val="24"/>
                <w:szCs w:val="24"/>
                <w:lang w:eastAsia="pt-BR"/>
              </w:rPr>
            </w:pPr>
          </w:p>
        </w:tc>
      </w:tr>
    </w:tbl>
    <w:p w:rsidR="004F1F2B" w:rsidRPr="004F1F2B" w:rsidRDefault="004F1F2B" w:rsidP="004F1F2B">
      <w:pPr>
        <w:spacing w:after="0" w:line="240" w:lineRule="auto"/>
        <w:rPr>
          <w:rFonts w:ascii="Times New Roman" w:eastAsia="Times New Roman" w:hAnsi="Times New Roman" w:cs="Times New Roman"/>
          <w:sz w:val="24"/>
          <w:szCs w:val="24"/>
          <w:lang w:eastAsia="pt-BR"/>
        </w:rPr>
      </w:pP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2.2. A listagem do cadastro de reserva referente ao presente registro de preços constará como anexo desta Ata.</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color w:val="000000"/>
          <w:sz w:val="24"/>
          <w:szCs w:val="24"/>
          <w:lang w:eastAsia="pt-BR"/>
        </w:rPr>
        <w:t xml:space="preserve">3. </w:t>
      </w:r>
      <w:proofErr w:type="gramStart"/>
      <w:r w:rsidRPr="004F1F2B">
        <w:rPr>
          <w:rFonts w:ascii="Calibri" w:eastAsia="Times New Roman" w:hAnsi="Calibri" w:cs="Calibri"/>
          <w:color w:val="000000"/>
          <w:sz w:val="24"/>
          <w:szCs w:val="24"/>
          <w:lang w:eastAsia="pt-BR"/>
        </w:rPr>
        <w:t>ÓRGÃO(</w:t>
      </w:r>
      <w:proofErr w:type="gramEnd"/>
      <w:r w:rsidRPr="004F1F2B">
        <w:rPr>
          <w:rFonts w:ascii="Calibri" w:eastAsia="Times New Roman" w:hAnsi="Calibri" w:cs="Calibri"/>
          <w:color w:val="000000"/>
          <w:sz w:val="24"/>
          <w:szCs w:val="24"/>
          <w:lang w:eastAsia="pt-BR"/>
        </w:rPr>
        <w:t>S) GERENCIADOR E PARTICIPANTE(S)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3.1. O órgão ou entidade gerenciadora será a Fundação de Amparo à Pesquisa do Estado de São Paulo - FAPESP</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3.2. Além do órgão ou entidade gerenciadora, não há órgãos ou entidades participantes do registro de preços.</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color w:val="000000"/>
          <w:sz w:val="24"/>
          <w:szCs w:val="24"/>
          <w:lang w:eastAsia="pt-BR"/>
        </w:rPr>
        <w:t xml:space="preserve">4. </w:t>
      </w:r>
      <w:r w:rsidRPr="004F1F2B">
        <w:rPr>
          <w:rFonts w:ascii="Calibri" w:eastAsia="Times New Roman" w:hAnsi="Calibri" w:cs="Calibri"/>
          <w:color w:val="000000"/>
          <w:sz w:val="24"/>
          <w:szCs w:val="24"/>
          <w:lang w:eastAsia="pt-BR"/>
        </w:rPr>
        <w:t xml:space="preserve">DA ADESÃO À ATA DE REGISTRO DE PREÇOS </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4.1. Não será admitida a adesão a esta ata de registro de preços.</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color w:val="000000"/>
          <w:sz w:val="24"/>
          <w:szCs w:val="24"/>
          <w:lang w:eastAsia="pt-BR"/>
        </w:rPr>
        <w:t xml:space="preserve">5. </w:t>
      </w:r>
      <w:r w:rsidRPr="004F1F2B">
        <w:rPr>
          <w:rFonts w:ascii="Calibri" w:eastAsia="Times New Roman" w:hAnsi="Calibri" w:cs="Calibri"/>
          <w:color w:val="000000"/>
          <w:sz w:val="24"/>
          <w:szCs w:val="24"/>
          <w:lang w:eastAsia="pt-BR"/>
        </w:rPr>
        <w:t>VALIDADE, FORMALIZAÇÃO DA ATA DE REGISTRO DE PREÇOS E CADASTRO RESERVA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5.1.2. Na formalização do instrumento da contratação deverá haver a indicação da disponibilidade dos créditos orçamentários respectivos.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5.2. A formalização da contratação com os fornecedores registrados nesta ata de registro de preços deverá ocorrer no prazo de validade deste instrumento.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5.3. Os contratos decorrentes do sistema de registro de preços poderão ser alterados, observado o art. 124 da Lei nº 14.133, de 2021.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5.4. A</w:t>
      </w:r>
      <w:bookmarkStart w:id="2" w:name="cadastro_reserva"/>
      <w:bookmarkEnd w:id="2"/>
      <w:r w:rsidRPr="004F1F2B">
        <w:rPr>
          <w:rFonts w:ascii="Calibri" w:eastAsia="Times New Roman" w:hAnsi="Calibri" w:cs="Calibri"/>
          <w:sz w:val="24"/>
          <w:szCs w:val="24"/>
          <w:lang w:eastAsia="pt-BR"/>
        </w:rPr>
        <w:t>s contratações respeitarão a ordem de classificação dos fornecedores registrados nesta ata.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5.5. O registro de fornecedores incluído nesta ata na forma de anexo, quando for o caso, consiste na formação de cadastro de reserva para o caso de impossibilidade de atendimento pelo signatário da ata.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item 1.1.</w:t>
      </w:r>
      <w:bookmarkStart w:id="3" w:name="habilitacao_reserva"/>
      <w:bookmarkEnd w:id="3"/>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5.7. O preço registrado, com indicação dos fornecedores, será divulgado no PNCP e ficará disponibilizado durante a vigência desta ata de registro de preços.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4" w:name="recusa_dos_que_baixaram_preco"/>
      <w:bookmarkEnd w:id="4"/>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5.8.1. Na hipótese de nenhum dos fornecedores que aceitaram cotar o objeto com preço igual ao do adjudicatário concordar com a contratação nas condições propostas pelo primeiro classificado nos termos da subdivisão acima, a Administração, observados o valor estimado e sua eventual atualização na forma prevista na documentação que integra o instrumento convocatório mencionado no item 1.1, poderá:</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5.8.1.1. Convocar para negociação os fornecedores remanescentes que mantiveram sua proposta original, quando houver, na ordem de classificação, com vistas à obtenção de preço melhor, mesmo que acima do preço do adjudicatário;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5.8.1.2. Adjudicar e celebrar a contratação nas condições ofertadas pelos fornecedores remanescentes, observado o disposto neste item 5 e a ordem de classificação, quando frustrada a negociação de melhor condição.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color w:val="000000"/>
          <w:sz w:val="24"/>
          <w:szCs w:val="24"/>
          <w:lang w:eastAsia="pt-BR"/>
        </w:rPr>
        <w:t xml:space="preserve">6. </w:t>
      </w:r>
      <w:r w:rsidRPr="004F1F2B">
        <w:rPr>
          <w:rFonts w:ascii="Calibri" w:eastAsia="Times New Roman" w:hAnsi="Calibri" w:cs="Calibri"/>
          <w:color w:val="000000"/>
          <w:sz w:val="24"/>
          <w:szCs w:val="24"/>
          <w:lang w:eastAsia="pt-BR"/>
        </w:rPr>
        <w:t>ALTERAÇÃO OU ATUALIZAÇÃO DOS PREÇOS REGISTRADOS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6.1. Os preços registrados poderão ser alterados em decorrência de eventual redução dos preços praticados no mercado ou de fato que eleve o custo </w:t>
      </w:r>
      <w:proofErr w:type="gramStart"/>
      <w:r w:rsidRPr="004F1F2B">
        <w:rPr>
          <w:rFonts w:ascii="Calibri" w:eastAsia="Times New Roman" w:hAnsi="Calibri" w:cs="Calibri"/>
          <w:sz w:val="24"/>
          <w:szCs w:val="24"/>
          <w:lang w:eastAsia="pt-BR"/>
        </w:rPr>
        <w:t>do(</w:t>
      </w:r>
      <w:proofErr w:type="gramEnd"/>
      <w:r w:rsidRPr="004F1F2B">
        <w:rPr>
          <w:rFonts w:ascii="Calibri" w:eastAsia="Times New Roman" w:hAnsi="Calibri" w:cs="Calibri"/>
          <w:sz w:val="24"/>
          <w:szCs w:val="24"/>
          <w:lang w:eastAsia="pt-BR"/>
        </w:rPr>
        <w:t>s) item(</w:t>
      </w:r>
      <w:proofErr w:type="spellStart"/>
      <w:r w:rsidRPr="004F1F2B">
        <w:rPr>
          <w:rFonts w:ascii="Calibri" w:eastAsia="Times New Roman" w:hAnsi="Calibri" w:cs="Calibri"/>
          <w:sz w:val="24"/>
          <w:szCs w:val="24"/>
          <w:lang w:eastAsia="pt-BR"/>
        </w:rPr>
        <w:t>ns</w:t>
      </w:r>
      <w:proofErr w:type="spellEnd"/>
      <w:r w:rsidRPr="004F1F2B">
        <w:rPr>
          <w:rFonts w:ascii="Calibri" w:eastAsia="Times New Roman" w:hAnsi="Calibri" w:cs="Calibri"/>
          <w:sz w:val="24"/>
          <w:szCs w:val="24"/>
          <w:lang w:eastAsia="pt-BR"/>
        </w:rPr>
        <w:t>) registrado(s), nas seguintes situações: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b) em caso de criação, alteração ou extinção de quaisquer tributos ou encargos legais ou da superveniência de disposições legais, com comprovada repercussão sobre os preços registrados. </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lastRenderedPageBreak/>
        <w:t>6.2. É previsto reajustamento dos preços registrados nesta ata, observados os mesmos critérios estabelecidos no instrumento convocatório mencionado no item 1.1 para o reajustamento dos preços de eventual contratação dela decorrente.</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w:t>
      </w:r>
      <w:proofErr w:type="gramStart"/>
      <w:r w:rsidRPr="004F1F2B">
        <w:rPr>
          <w:rFonts w:ascii="Calibri" w:eastAsia="Times New Roman" w:hAnsi="Calibri" w:cs="Calibri"/>
          <w:sz w:val="24"/>
          <w:szCs w:val="24"/>
          <w:lang w:eastAsia="pt-BR"/>
        </w:rPr>
        <w:t>reajustamento(</w:t>
      </w:r>
      <w:proofErr w:type="gramEnd"/>
      <w:r w:rsidRPr="004F1F2B">
        <w:rPr>
          <w:rFonts w:ascii="Calibri" w:eastAsia="Times New Roman" w:hAnsi="Calibri" w:cs="Calibri"/>
          <w:sz w:val="24"/>
          <w:szCs w:val="24"/>
          <w:lang w:eastAsia="pt-BR"/>
        </w:rPr>
        <w:t xml:space="preserve">s) subsequente(s) ao primeiro, o interregno mínimo de 1 (um) ano será contado a partir dos efeitos do último reajustamento. </w:t>
      </w:r>
    </w:p>
    <w:p w:rsidR="004F1F2B" w:rsidRPr="004F1F2B" w:rsidRDefault="004F1F2B" w:rsidP="004F1F2B">
      <w:pPr>
        <w:spacing w:after="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sz w:val="24"/>
          <w:szCs w:val="24"/>
          <w:lang w:eastAsia="pt-BR"/>
        </w:rPr>
        <w:t>Vedação a acréscimo de quantitativos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6.3. É vedado:</w:t>
      </w:r>
    </w:p>
    <w:p w:rsidR="004F1F2B" w:rsidRPr="004F1F2B" w:rsidRDefault="004F1F2B" w:rsidP="004F1F2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a) efetuar acréscimos nos quantitativos fixados nesta ata de registro de preços;</w:t>
      </w:r>
    </w:p>
    <w:p w:rsidR="004F1F2B" w:rsidRPr="004F1F2B" w:rsidRDefault="004F1F2B" w:rsidP="004F1F2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b) restabelecer os quantitativos que já tenham sido contratados desta ata de registro de preços quando da prorrogação de que trata o item 5.1.</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sz w:val="24"/>
          <w:szCs w:val="24"/>
          <w:lang w:eastAsia="pt-BR"/>
        </w:rPr>
        <w:t xml:space="preserve">7. </w:t>
      </w:r>
      <w:r w:rsidRPr="004F1F2B">
        <w:rPr>
          <w:rFonts w:ascii="Calibri" w:eastAsia="Times New Roman" w:hAnsi="Calibri" w:cs="Calibri"/>
          <w:sz w:val="24"/>
          <w:szCs w:val="24"/>
          <w:lang w:eastAsia="pt-BR"/>
        </w:rPr>
        <w:t>NEGOCIAÇÃO DE PREÇOS REGISTRADOS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7.1. Quando, por motivo superveniente, o preço registrado se tornar superior àquele praticado no mercado, o órgão ou entidade gerenciadora convocará o fornecedor para negociar a sua redução.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7.1.1. Quando for exitosa a negociação a que alude a subdivisão acima,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7" w:tgtFrame="_blank" w:history="1">
        <w:r w:rsidRPr="004F1F2B">
          <w:rPr>
            <w:rFonts w:ascii="Calibri" w:eastAsia="Times New Roman" w:hAnsi="Calibri" w:cs="Calibri"/>
            <w:color w:val="0563C1"/>
            <w:sz w:val="24"/>
            <w:szCs w:val="24"/>
            <w:u w:val="single"/>
            <w:lang w:eastAsia="pt-BR"/>
          </w:rPr>
          <w:t>Lei nº 14.133, de 2021</w:t>
        </w:r>
      </w:hyperlink>
      <w:r w:rsidRPr="004F1F2B">
        <w:rPr>
          <w:rFonts w:ascii="Calibri" w:eastAsia="Times New Roman" w:hAnsi="Calibri" w:cs="Calibri"/>
          <w:sz w:val="24"/>
          <w:szCs w:val="24"/>
          <w:lang w:eastAsia="pt-BR"/>
        </w:rPr>
        <w:t>.</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7.1.2. O fornecedor será liberado do compromisso assumido quanto ao item registrado, sem aplicação de penalidades administrativas, caso não aceite reduzir seu preço aos valores praticados pelo mercado.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7.1.2.1. Na hipótese prevista na subdivisão acima, o órgão ou entidade gerenciadora convocará os fornecedores do cadastro de reserva, na ordem de classificação, para verificar se aceitam reduzir seus preços aos valores de mercado, observado o disposto no item 9.1.3. </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7.1.2.1.1. O órgão ou entidade gerenciadora cancelará a ata de registro de preços, nos termos do disposto no item 9.2, e adotará as medidas cabíveis para a obtenção de contratação mais vantajosa, caso, nas negociações a que alude a subdivisão acima, os fornecedores do cadastro de reserva não aceitem reduzir seus preços aos valores de mercado.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7.2. Quando o preço praticado no mercado se tornar superior ao preço registrado, o fornecedor poderá requerer ao órgão ou entidade gerenciadora a alteração do preço registrado, desde que observe os requisitos especificados no item 7.2.1.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7.2.1. O requerimento a que alude o item 7.2 deverá observar o disposto no item 6.1 e estar acompanhado de:</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lastRenderedPageBreak/>
        <w:t>a) prova de fato superveniente que impossibilite o cumprimento do compromisso registrado nesta ata;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b) documentação comprobatória da inviabilidade de manutenção do preço registrado.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7.2.2. Na hipótese de não comprovação dos requisitos especificados nos itens 7.2 e 7.2.1: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a) o pedido será indeferido pelo órgão ou entidade gerenciadora;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b) o fornecedor deverá cumprir o compromisso registrado na ata sob pena de cancelamento do seu registro, nos termos do item 9.1, sem prejuízo da aplicação das sanções cabíveis, em especial aquelas previstas na </w:t>
      </w:r>
      <w:hyperlink r:id="rId8" w:tgtFrame="_blank" w:history="1">
        <w:r w:rsidRPr="004F1F2B">
          <w:rPr>
            <w:rFonts w:ascii="Calibri" w:eastAsia="Times New Roman" w:hAnsi="Calibri" w:cs="Calibri"/>
            <w:color w:val="0563C1"/>
            <w:sz w:val="24"/>
            <w:szCs w:val="24"/>
            <w:u w:val="single"/>
            <w:lang w:eastAsia="pt-BR"/>
          </w:rPr>
          <w:t>Lei nº 14.133, de 2021</w:t>
        </w:r>
      </w:hyperlink>
      <w:r w:rsidRPr="004F1F2B">
        <w:rPr>
          <w:rFonts w:ascii="Calibri" w:eastAsia="Times New Roman" w:hAnsi="Calibri" w:cs="Calibri"/>
          <w:sz w:val="24"/>
          <w:szCs w:val="24"/>
          <w:lang w:eastAsia="pt-BR"/>
        </w:rPr>
        <w:t>.</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7.2.3. Quando realizado o cancelamento do registro do fornecedor a que alude a alínea “b” do item 7.2.2, o órgão ou entidade gerenciadora convocará os fornecedores do cadastro de reserva, na ordem de classificação, para verificar se aceitam manter seus preços registrados, observado o disposto no item 5.6.</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7.2.3.1. O órgão ou entidade gerenciadora cancelará a ata de registro de preços, nos termos do item 9.2, e adotará as medidas cabíveis para a obtenção da contratação mais vantajosa, caso não obtenha êxito nas negociações a que alude a subdivisão acima.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7.2.4. Quando forem comprovados os requisitos estabelecidos nos itens 7.2 e 7.2.1, o órgão ou entidade gerenciadora: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a) alterará o preço registrado, observados os valores praticados pelo mercado, no limite do impacto causado pelos fatos supervenientes ensejadores da inviabilidade de manutenção do preço inicial;</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b) comunicará o novo preço aos órgãos e entidades que tiverem firmado contratos decorrentes desta ata de registro de preços, para eventual alteração contratual, observado o disposto no art. 124 da </w:t>
      </w:r>
      <w:hyperlink r:id="rId9" w:tgtFrame="_blank" w:history="1">
        <w:r w:rsidRPr="004F1F2B">
          <w:rPr>
            <w:rFonts w:ascii="Calibri" w:eastAsia="Times New Roman" w:hAnsi="Calibri" w:cs="Calibri"/>
            <w:color w:val="0563C1"/>
            <w:sz w:val="24"/>
            <w:szCs w:val="24"/>
            <w:u w:val="single"/>
            <w:lang w:eastAsia="pt-BR"/>
          </w:rPr>
          <w:t>Lei nº 14.133, de 2021</w:t>
        </w:r>
      </w:hyperlink>
      <w:r w:rsidRPr="004F1F2B">
        <w:rPr>
          <w:rFonts w:ascii="Calibri" w:eastAsia="Times New Roman" w:hAnsi="Calibri" w:cs="Calibri"/>
          <w:sz w:val="24"/>
          <w:szCs w:val="24"/>
          <w:lang w:eastAsia="pt-BR"/>
        </w:rPr>
        <w:t>.</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bookmarkStart w:id="5" w:name="hipotese_preco_mercado_maior"/>
      <w:bookmarkStart w:id="6" w:name="prova_preco_mercado_maior"/>
      <w:bookmarkStart w:id="7" w:name="nao_comprovacao_majoracao_mercado"/>
      <w:bookmarkEnd w:id="5"/>
      <w:bookmarkEnd w:id="6"/>
      <w:bookmarkEnd w:id="7"/>
      <w:r w:rsidRPr="004F1F2B">
        <w:rPr>
          <w:rFonts w:ascii="Calibri" w:eastAsia="Times New Roman" w:hAnsi="Calibri" w:cs="Calibri"/>
          <w:b/>
          <w:bCs/>
          <w:sz w:val="24"/>
          <w:szCs w:val="24"/>
          <w:lang w:eastAsia="pt-BR"/>
        </w:rPr>
        <w:t xml:space="preserve">8. </w:t>
      </w:r>
      <w:r w:rsidRPr="004F1F2B">
        <w:rPr>
          <w:rFonts w:ascii="Calibri" w:eastAsia="Times New Roman" w:hAnsi="Calibri" w:cs="Calibri"/>
          <w:sz w:val="24"/>
          <w:szCs w:val="24"/>
          <w:lang w:eastAsia="pt-BR"/>
        </w:rPr>
        <w:t>REMANEJAMENTO DAS QUANTIDADES REGISTRADAS NA ATA DE REGISTRO DE PREÇOS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8.1. Além do órgão ou entidade gerenciadora, não há órgãos ou entidades participantes do registro de preço e não será admitida a adesão a esta ata de registro de preços, impossibilitando-se qualquer tipo de remanejamento de quantidades registradas nesta ata.</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sz w:val="24"/>
          <w:szCs w:val="24"/>
          <w:lang w:eastAsia="pt-BR"/>
        </w:rPr>
        <w:t xml:space="preserve">9. </w:t>
      </w:r>
      <w:r w:rsidRPr="004F1F2B">
        <w:rPr>
          <w:rFonts w:ascii="Calibri" w:eastAsia="Times New Roman" w:hAnsi="Calibri" w:cs="Calibri"/>
          <w:sz w:val="24"/>
          <w:szCs w:val="24"/>
          <w:lang w:eastAsia="pt-BR"/>
        </w:rPr>
        <w:t>CANCELAMENTO DO REGISTRO DO LICITANTE VENCEDOR E DOS PREÇOS REGISTRADOS</w:t>
      </w:r>
      <w:bookmarkStart w:id="8" w:name="cancelamento"/>
      <w:bookmarkEnd w:id="8"/>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9.1. O órgão ou entidade gerenciadora cancelará o registro do fornecedor quando este:</w:t>
      </w:r>
      <w:bookmarkStart w:id="9" w:name="cancelamento_do_fornecedor"/>
      <w:bookmarkEnd w:id="9"/>
    </w:p>
    <w:p w:rsidR="004F1F2B" w:rsidRPr="004F1F2B" w:rsidRDefault="004F1F2B" w:rsidP="004F1F2B">
      <w:pPr>
        <w:spacing w:after="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a) descumprir as condições da ata de registro de preços, sem motivo justificado;</w:t>
      </w:r>
    </w:p>
    <w:p w:rsidR="004F1F2B" w:rsidRPr="004F1F2B" w:rsidRDefault="004F1F2B" w:rsidP="004F1F2B">
      <w:pPr>
        <w:spacing w:after="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b) se recusar a formalizar a contratação no prazo e condições estabelecidos pela Administração sem justificativa aceitável;</w:t>
      </w:r>
    </w:p>
    <w:p w:rsidR="004F1F2B" w:rsidRPr="004F1F2B" w:rsidRDefault="004F1F2B" w:rsidP="004F1F2B">
      <w:pPr>
        <w:spacing w:after="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c) não aceitar manter seu preço registrado, na hipótese prevista no item 7.2.2; ou</w:t>
      </w:r>
    </w:p>
    <w:p w:rsidR="004F1F2B" w:rsidRPr="004F1F2B" w:rsidRDefault="004F1F2B" w:rsidP="004F1F2B">
      <w:pPr>
        <w:spacing w:after="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lastRenderedPageBreak/>
        <w:t>d) for apenado com sanção prevista no inciso III do caput do art. 156 da Lei nº 14.133, de 2021, aplicada no âmbito da Administração Pública do Estado de São Paulo, ou sanção prevista no inciso IV do caput do mesmo artigo.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9.1.1. Na hipótese a que alude a alínea “d” da subdivisão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9.1.2. O cancelamento de registros nas hipóteses previstas no item 9.1 será formalizado por despacho do órgão ou da entidade gerenciadora, garantidos o contraditório e a ampla defesa.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9.1.3. Quando for cancelado o registro do fornecedor, o órgão ou entidade gerenciadora poderá convocar os fornecedores que compõem o cadastro de reserva, observados a ordem de classificação e o disposto no item 5.6.</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9.2. O órgão ou entidade gerenciadora poderá, justificadamente, cancelar, total ou parcialmente, os preços registrados nesta ata de registro de preços:</w:t>
      </w:r>
      <w:bookmarkStart w:id="10" w:name="cancelamento_da_ata"/>
      <w:bookmarkEnd w:id="10"/>
    </w:p>
    <w:p w:rsidR="004F1F2B" w:rsidRPr="004F1F2B" w:rsidRDefault="004F1F2B" w:rsidP="004F1F2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a) por razão de interesse público;</w:t>
      </w:r>
    </w:p>
    <w:p w:rsidR="004F1F2B" w:rsidRPr="004F1F2B" w:rsidRDefault="004F1F2B" w:rsidP="004F1F2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b) a pedido do fornecedor, à vista de prova da ocorrência superveniente de caso fortuito ou força maior que impossibilitem o cumprimento do compromisso registrado; ou</w:t>
      </w:r>
    </w:p>
    <w:p w:rsidR="004F1F2B" w:rsidRPr="004F1F2B" w:rsidRDefault="004F1F2B" w:rsidP="004F1F2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c) se não houver êxito nas negociações, nos termos dos itens 7.1.2.1.1 e 7.2.3.1. </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color w:val="000000"/>
          <w:sz w:val="24"/>
          <w:szCs w:val="24"/>
          <w:lang w:eastAsia="pt-BR"/>
        </w:rPr>
        <w:t xml:space="preserve">10. </w:t>
      </w:r>
      <w:r w:rsidRPr="004F1F2B">
        <w:rPr>
          <w:rFonts w:ascii="Calibri" w:eastAsia="Times New Roman" w:hAnsi="Calibri" w:cs="Calibri"/>
          <w:color w:val="000000"/>
          <w:sz w:val="24"/>
          <w:szCs w:val="24"/>
          <w:lang w:eastAsia="pt-BR"/>
        </w:rPr>
        <w:t>DAS PENALIDADES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10.1. O descumprimento desta Ata de Registro de Preços ensejará aplicação das penalidades estabelecidas no instrumento convocatório mencionado no item 1.1, garantidos o contraditório e a ampla defesa.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10.1.1. As sanções cabíveis também se aplicam aos integrantes do cadastro de reserva no registro de preços que, convocados, não honrarem o compromisso assumido injustificadamente. </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4F1F2B" w:rsidRPr="004F1F2B" w:rsidRDefault="004F1F2B" w:rsidP="004F1F2B">
      <w:pPr>
        <w:spacing w:before="285" w:after="285"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b/>
          <w:bCs/>
          <w:sz w:val="24"/>
          <w:szCs w:val="24"/>
          <w:lang w:eastAsia="pt-BR"/>
        </w:rPr>
        <w:t xml:space="preserve">11. </w:t>
      </w:r>
      <w:r w:rsidRPr="004F1F2B">
        <w:rPr>
          <w:rFonts w:ascii="Calibri" w:eastAsia="Times New Roman" w:hAnsi="Calibri" w:cs="Calibri"/>
          <w:sz w:val="24"/>
          <w:szCs w:val="24"/>
          <w:lang w:eastAsia="pt-BR"/>
        </w:rPr>
        <w:t>CONDIÇÕES GERAIS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lastRenderedPageBreak/>
        <w:t>11.1.1. A existência de preços registrados não obriga a Administração a celebrar contratações decorrentes desta ata de registro de preços, observando-se o disposto no item 5.9.</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11.2. A contratação com os fornecedores registrados nesta ata será formalizada pelo órgão ou entidade interessada mediante emissão de pedido de compra, cuja minuta integra como Anexo o instrumento convocatório mencionado no item 1.1.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11.2.2. Se não for possível atualizar os documentos referidos na subdivisão acima por meio eletrônico hábil de informações, o fornecedor será notificado para, no prazo de 02 (dois) dias úteis, comprovar a sua situação de regularidade mediante a apresentação das certidões respectivas com prazos de validade em vigência, sob pena de a contratação não se realizar.</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11.2.3.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11.2.5. </w:t>
      </w:r>
      <w:proofErr w:type="gramStart"/>
      <w:r w:rsidRPr="004F1F2B">
        <w:rPr>
          <w:rFonts w:ascii="Calibri" w:eastAsia="Times New Roman" w:hAnsi="Calibri" w:cs="Calibri"/>
          <w:sz w:val="24"/>
          <w:szCs w:val="24"/>
          <w:lang w:eastAsia="pt-BR"/>
        </w:rPr>
        <w:t>Constitui(</w:t>
      </w:r>
      <w:proofErr w:type="gramEnd"/>
      <w:r w:rsidRPr="004F1F2B">
        <w:rPr>
          <w:rFonts w:ascii="Calibri" w:eastAsia="Times New Roman" w:hAnsi="Calibri" w:cs="Calibri"/>
          <w:sz w:val="24"/>
          <w:szCs w:val="24"/>
          <w:lang w:eastAsia="pt-BR"/>
        </w:rPr>
        <w:t>em), igualmente, condição(</w:t>
      </w:r>
      <w:proofErr w:type="spellStart"/>
      <w:r w:rsidRPr="004F1F2B">
        <w:rPr>
          <w:rFonts w:ascii="Calibri" w:eastAsia="Times New Roman" w:hAnsi="Calibri" w:cs="Calibri"/>
          <w:sz w:val="24"/>
          <w:szCs w:val="24"/>
          <w:lang w:eastAsia="pt-BR"/>
        </w:rPr>
        <w:t>ões</w:t>
      </w:r>
      <w:proofErr w:type="spellEnd"/>
      <w:r w:rsidRPr="004F1F2B">
        <w:rPr>
          <w:rFonts w:ascii="Calibri" w:eastAsia="Times New Roman" w:hAnsi="Calibri" w:cs="Calibri"/>
          <w:sz w:val="24"/>
          <w:szCs w:val="24"/>
          <w:lang w:eastAsia="pt-BR"/>
        </w:rPr>
        <w:t>) para a celebração da contratação: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11.2.5.1. </w:t>
      </w:r>
      <w:proofErr w:type="gramStart"/>
      <w:r w:rsidRPr="004F1F2B">
        <w:rPr>
          <w:rFonts w:ascii="Calibri" w:eastAsia="Times New Roman" w:hAnsi="Calibri" w:cs="Calibri"/>
          <w:sz w:val="24"/>
          <w:szCs w:val="24"/>
          <w:lang w:eastAsia="pt-BR"/>
        </w:rPr>
        <w:t>a</w:t>
      </w:r>
      <w:proofErr w:type="gramEnd"/>
      <w:r w:rsidRPr="004F1F2B">
        <w:rPr>
          <w:rFonts w:ascii="Calibri" w:eastAsia="Times New Roman" w:hAnsi="Calibri" w:cs="Calibri"/>
          <w:sz w:val="24"/>
          <w:szCs w:val="24"/>
          <w:lang w:eastAsia="pt-BR"/>
        </w:rPr>
        <w:t xml:space="preserve">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11.2.5.2. </w:t>
      </w:r>
      <w:proofErr w:type="gramStart"/>
      <w:r w:rsidRPr="004F1F2B">
        <w:rPr>
          <w:rFonts w:ascii="Calibri" w:eastAsia="Times New Roman" w:hAnsi="Calibri" w:cs="Calibri"/>
          <w:sz w:val="24"/>
          <w:szCs w:val="24"/>
          <w:lang w:eastAsia="pt-BR"/>
        </w:rPr>
        <w:t>a</w:t>
      </w:r>
      <w:proofErr w:type="gramEnd"/>
      <w:r w:rsidRPr="004F1F2B">
        <w:rPr>
          <w:rFonts w:ascii="Calibri" w:eastAsia="Times New Roman" w:hAnsi="Calibri" w:cs="Calibri"/>
          <w:sz w:val="24"/>
          <w:szCs w:val="24"/>
          <w:lang w:eastAsia="pt-BR"/>
        </w:rPr>
        <w:t xml:space="preserve"> indicação de gestor encarregado de representar o fornecedor com exclusividade perante o contratante, caso se trate de sociedade cooperativa (se admitida a participação de cooperativa);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11.3. O fornecedor terá o prazo de 05 (cinco) dias, contados a partir da data de sua convocação, para comparecer perante a Unidade Contratante para a retirada do pedido de compra ou, alternativamente, solicitar o seu envio por meio eletrônico, sob pena de decadência, sem prejuízo das sanções previstas na Lei nº 14.133, de 2021.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11.3.1. O prazo para formalização da contratação previsto na subdivisão anterior poderá ser prorrogado por igual período, por solicitação justificada do interessado e aceita pela Administração;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lastRenderedPageBreak/>
        <w:t>11.3.2. O não comparecimento do fornecedor para retirar o pedido de compra ou, quando solicitado o seu envio por meio eletrônico, a ausência de envio de confirmação de recebimento dentro do prazo previsto na subdivisão anterior importará na recusa à contratação, sujeita à aplicação das sanções cabíveis.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11.3.3. A retirada do pedido de compra ou, quando solicitado o seu envio por meio eletrônico, o envio de confirmação de recebimento, implica o reconhecimento pelo fornecedor:</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11.3.3.1. </w:t>
      </w:r>
      <w:proofErr w:type="gramStart"/>
      <w:r w:rsidRPr="004F1F2B">
        <w:rPr>
          <w:rFonts w:ascii="Calibri" w:eastAsia="Times New Roman" w:hAnsi="Calibri" w:cs="Calibri"/>
          <w:sz w:val="24"/>
          <w:szCs w:val="24"/>
          <w:lang w:eastAsia="pt-BR"/>
        </w:rPr>
        <w:t>de</w:t>
      </w:r>
      <w:proofErr w:type="gramEnd"/>
      <w:r w:rsidRPr="004F1F2B">
        <w:rPr>
          <w:rFonts w:ascii="Calibri" w:eastAsia="Times New Roman" w:hAnsi="Calibri" w:cs="Calibri"/>
          <w:sz w:val="24"/>
          <w:szCs w:val="24"/>
          <w:lang w:eastAsia="pt-BR"/>
        </w:rPr>
        <w:t xml:space="preserve"> que referido pedido de compra está substituindo o instrumento de contrato, aplicando-se à relação jurídica ali estabelecida as disposições da </w:t>
      </w:r>
      <w:hyperlink r:id="rId10" w:tgtFrame="_blank" w:history="1">
        <w:r w:rsidRPr="004F1F2B">
          <w:rPr>
            <w:rFonts w:ascii="Calibri" w:eastAsia="Times New Roman" w:hAnsi="Calibri" w:cs="Calibri"/>
            <w:color w:val="0563C1"/>
            <w:sz w:val="24"/>
            <w:szCs w:val="24"/>
            <w:u w:val="single"/>
            <w:lang w:eastAsia="pt-BR"/>
          </w:rPr>
          <w:t>Lei nº 14.133, de 2021</w:t>
        </w:r>
      </w:hyperlink>
      <w:r w:rsidRPr="004F1F2B">
        <w:rPr>
          <w:rFonts w:ascii="Calibri" w:eastAsia="Times New Roman" w:hAnsi="Calibri" w:cs="Calibri"/>
          <w:sz w:val="24"/>
          <w:szCs w:val="24"/>
          <w:lang w:eastAsia="pt-BR"/>
        </w:rPr>
        <w:t>;</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11.3.3.2. </w:t>
      </w:r>
      <w:proofErr w:type="gramStart"/>
      <w:r w:rsidRPr="004F1F2B">
        <w:rPr>
          <w:rFonts w:ascii="Calibri" w:eastAsia="Times New Roman" w:hAnsi="Calibri" w:cs="Calibri"/>
          <w:sz w:val="24"/>
          <w:szCs w:val="24"/>
          <w:lang w:eastAsia="pt-BR"/>
        </w:rPr>
        <w:t>de</w:t>
      </w:r>
      <w:proofErr w:type="gramEnd"/>
      <w:r w:rsidRPr="004F1F2B">
        <w:rPr>
          <w:rFonts w:ascii="Calibri" w:eastAsia="Times New Roman" w:hAnsi="Calibri" w:cs="Calibri"/>
          <w:sz w:val="24"/>
          <w:szCs w:val="24"/>
          <w:lang w:eastAsia="pt-BR"/>
        </w:rPr>
        <w:t xml:space="preserve"> que está vinculado às previsões contidas no instrumento convocatório mencionado no item 1.1 e seus Anexos e à sua proposta;</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11.3.3.3. </w:t>
      </w:r>
      <w:proofErr w:type="gramStart"/>
      <w:r w:rsidRPr="004F1F2B">
        <w:rPr>
          <w:rFonts w:ascii="Calibri" w:eastAsia="Times New Roman" w:hAnsi="Calibri" w:cs="Calibri"/>
          <w:sz w:val="24"/>
          <w:szCs w:val="24"/>
          <w:lang w:eastAsia="pt-BR"/>
        </w:rPr>
        <w:t>de</w:t>
      </w:r>
      <w:proofErr w:type="gramEnd"/>
      <w:r w:rsidRPr="004F1F2B">
        <w:rPr>
          <w:rFonts w:ascii="Calibri" w:eastAsia="Times New Roman" w:hAnsi="Calibri" w:cs="Calibri"/>
          <w:sz w:val="24"/>
          <w:szCs w:val="24"/>
          <w:lang w:eastAsia="pt-BR"/>
        </w:rPr>
        <w:t xml:space="preserve"> que se aplicam às omissões as disposições da Lei nº 14.133, de 2021, e normas regulamentares pertinentes, e, subsidiariamente, as disposições da Lei nº 8.078, de 1990, e princípios gerais dos contratos;</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11.3.3.4. </w:t>
      </w:r>
      <w:proofErr w:type="gramStart"/>
      <w:r w:rsidRPr="004F1F2B">
        <w:rPr>
          <w:rFonts w:ascii="Calibri" w:eastAsia="Times New Roman" w:hAnsi="Calibri" w:cs="Calibri"/>
          <w:sz w:val="24"/>
          <w:szCs w:val="24"/>
          <w:lang w:eastAsia="pt-BR"/>
        </w:rPr>
        <w:t>de</w:t>
      </w:r>
      <w:proofErr w:type="gramEnd"/>
      <w:r w:rsidRPr="004F1F2B">
        <w:rPr>
          <w:rFonts w:ascii="Calibri" w:eastAsia="Times New Roman" w:hAnsi="Calibri" w:cs="Calibri"/>
          <w:sz w:val="24"/>
          <w:szCs w:val="24"/>
          <w:lang w:eastAsia="pt-BR"/>
        </w:rPr>
        <w:t xml:space="preserve"> que as hipóteses de extinção da contratação são aquelas previstas nos </w:t>
      </w:r>
      <w:hyperlink r:id="rId11" w:anchor="art137" w:tgtFrame="_blank" w:history="1">
        <w:r w:rsidRPr="004F1F2B">
          <w:rPr>
            <w:rFonts w:ascii="Calibri" w:eastAsia="Times New Roman" w:hAnsi="Calibri" w:cs="Calibri"/>
            <w:color w:val="0563C1"/>
            <w:sz w:val="24"/>
            <w:szCs w:val="24"/>
            <w:u w:val="single"/>
            <w:lang w:eastAsia="pt-BR"/>
          </w:rPr>
          <w:t>artigos 137 e 138 da Lei nº 14.133, de 2021</w:t>
        </w:r>
      </w:hyperlink>
      <w:r w:rsidRPr="004F1F2B">
        <w:rPr>
          <w:rFonts w:ascii="Calibri" w:eastAsia="Times New Roman" w:hAnsi="Calibri" w:cs="Calibri"/>
          <w:sz w:val="24"/>
          <w:szCs w:val="24"/>
          <w:lang w:eastAsia="pt-BR"/>
        </w:rPr>
        <w:t>;</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11.3.3.5. </w:t>
      </w:r>
      <w:proofErr w:type="gramStart"/>
      <w:r w:rsidRPr="004F1F2B">
        <w:rPr>
          <w:rFonts w:ascii="Calibri" w:eastAsia="Times New Roman" w:hAnsi="Calibri" w:cs="Calibri"/>
          <w:sz w:val="24"/>
          <w:szCs w:val="24"/>
          <w:lang w:eastAsia="pt-BR"/>
        </w:rPr>
        <w:t>dos</w:t>
      </w:r>
      <w:proofErr w:type="gramEnd"/>
      <w:r w:rsidRPr="004F1F2B">
        <w:rPr>
          <w:rFonts w:ascii="Calibri" w:eastAsia="Times New Roman" w:hAnsi="Calibri" w:cs="Calibri"/>
          <w:sz w:val="24"/>
          <w:szCs w:val="24"/>
          <w:lang w:eastAsia="pt-BR"/>
        </w:rPr>
        <w:t xml:space="preserve"> direitos da Administração previstos nos </w:t>
      </w:r>
      <w:hyperlink r:id="rId12" w:anchor="art137" w:tgtFrame="_blank" w:history="1">
        <w:r w:rsidRPr="004F1F2B">
          <w:rPr>
            <w:rFonts w:ascii="Calibri" w:eastAsia="Times New Roman" w:hAnsi="Calibri" w:cs="Calibri"/>
            <w:color w:val="0563C1"/>
            <w:sz w:val="24"/>
            <w:szCs w:val="24"/>
            <w:u w:val="single"/>
            <w:lang w:eastAsia="pt-BR"/>
          </w:rPr>
          <w:t>artigos 137 a 139 da Lei</w:t>
        </w:r>
      </w:hyperlink>
      <w:r w:rsidRPr="004F1F2B">
        <w:rPr>
          <w:rFonts w:ascii="Calibri" w:eastAsia="Times New Roman" w:hAnsi="Calibri" w:cs="Calibri"/>
          <w:sz w:val="24"/>
          <w:szCs w:val="24"/>
          <w:lang w:eastAsia="pt-BR"/>
        </w:rPr>
        <w:t xml:space="preserve"> nº 14.133, de 2021;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11.3.3.6. </w:t>
      </w:r>
      <w:proofErr w:type="gramStart"/>
      <w:r w:rsidRPr="004F1F2B">
        <w:rPr>
          <w:rFonts w:ascii="Calibri" w:eastAsia="Times New Roman" w:hAnsi="Calibri" w:cs="Calibri"/>
          <w:sz w:val="24"/>
          <w:szCs w:val="24"/>
          <w:lang w:eastAsia="pt-BR"/>
        </w:rPr>
        <w:t>de</w:t>
      </w:r>
      <w:proofErr w:type="gramEnd"/>
      <w:r w:rsidRPr="004F1F2B">
        <w:rPr>
          <w:rFonts w:ascii="Calibri" w:eastAsia="Times New Roman" w:hAnsi="Calibri" w:cs="Calibri"/>
          <w:sz w:val="24"/>
          <w:szCs w:val="24"/>
          <w:lang w:eastAsia="pt-BR"/>
        </w:rPr>
        <w:t xml:space="preserve"> que as condições de habilitação e contratação consignadas no instrumento convocatório mencionado no item 1.1 deverão ser mantidas pelo fornecedor durante a vigência da contratação.</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11.4.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p>
    <w:p w:rsidR="004F1F2B" w:rsidRPr="004F1F2B" w:rsidRDefault="004F1F2B" w:rsidP="004F1F2B">
      <w:pPr>
        <w:spacing w:before="120" w:after="120" w:line="240" w:lineRule="auto"/>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Para firmeza e validade do pactuado, a presente Ata foi lavrada </w:t>
      </w:r>
      <w:proofErr w:type="spellStart"/>
      <w:r w:rsidRPr="004F1F2B">
        <w:rPr>
          <w:rFonts w:ascii="Calibri" w:eastAsia="Times New Roman" w:hAnsi="Calibri" w:cs="Calibri"/>
          <w:sz w:val="24"/>
          <w:szCs w:val="24"/>
          <w:lang w:eastAsia="pt-BR"/>
        </w:rPr>
        <w:t>em</w:t>
      </w:r>
      <w:proofErr w:type="spellEnd"/>
      <w:r w:rsidRPr="004F1F2B">
        <w:rPr>
          <w:rFonts w:ascii="Calibri" w:eastAsia="Times New Roman" w:hAnsi="Calibri" w:cs="Calibri"/>
          <w:sz w:val="24"/>
          <w:szCs w:val="24"/>
          <w:lang w:eastAsia="pt-BR"/>
        </w:rPr>
        <w:t xml:space="preserve"> .... (....) </w:t>
      </w:r>
      <w:proofErr w:type="gramStart"/>
      <w:r w:rsidRPr="004F1F2B">
        <w:rPr>
          <w:rFonts w:ascii="Calibri" w:eastAsia="Times New Roman" w:hAnsi="Calibri" w:cs="Calibri"/>
          <w:sz w:val="24"/>
          <w:szCs w:val="24"/>
          <w:lang w:eastAsia="pt-BR"/>
        </w:rPr>
        <w:t>via(</w:t>
      </w:r>
      <w:proofErr w:type="gramEnd"/>
      <w:r w:rsidRPr="004F1F2B">
        <w:rPr>
          <w:rFonts w:ascii="Calibri" w:eastAsia="Times New Roman" w:hAnsi="Calibri" w:cs="Calibri"/>
          <w:sz w:val="24"/>
          <w:szCs w:val="24"/>
          <w:lang w:eastAsia="pt-BR"/>
        </w:rPr>
        <w:t xml:space="preserve">s), que, depois de lida e achada em ordem, vai assinada pelo(a) representante do órgão ou entidade gerenciadora e pelo(as) representante(s) do(s) fornecedor(es) registrado(s), e por testemunhas, todos abaixo identificados. </w:t>
      </w: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 xml:space="preserve">São Paulo de </w:t>
      </w:r>
      <w:proofErr w:type="spellStart"/>
      <w:r w:rsidRPr="004F1F2B">
        <w:rPr>
          <w:rFonts w:ascii="Calibri" w:eastAsia="Times New Roman" w:hAnsi="Calibri" w:cs="Calibri"/>
          <w:sz w:val="24"/>
          <w:szCs w:val="24"/>
          <w:lang w:eastAsia="pt-BR"/>
        </w:rPr>
        <w:t>de</w:t>
      </w:r>
      <w:proofErr w:type="spellEnd"/>
      <w:r w:rsidRPr="004F1F2B">
        <w:rPr>
          <w:rFonts w:ascii="Calibri" w:eastAsia="Times New Roman" w:hAnsi="Calibri" w:cs="Calibri"/>
          <w:sz w:val="24"/>
          <w:szCs w:val="24"/>
          <w:lang w:eastAsia="pt-BR"/>
        </w:rPr>
        <w:t xml:space="preserve"> 2024</w:t>
      </w: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Assinaturas</w:t>
      </w: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Representante legal do órgão ou entidade gerenciadora</w:t>
      </w: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proofErr w:type="gramStart"/>
      <w:r w:rsidRPr="004F1F2B">
        <w:rPr>
          <w:rFonts w:ascii="Calibri" w:eastAsia="Times New Roman" w:hAnsi="Calibri" w:cs="Calibri"/>
          <w:sz w:val="24"/>
          <w:szCs w:val="24"/>
          <w:lang w:eastAsia="pt-BR"/>
        </w:rPr>
        <w:t>Representante(</w:t>
      </w:r>
      <w:proofErr w:type="gramEnd"/>
      <w:r w:rsidRPr="004F1F2B">
        <w:rPr>
          <w:rFonts w:ascii="Calibri" w:eastAsia="Times New Roman" w:hAnsi="Calibri" w:cs="Calibri"/>
          <w:sz w:val="24"/>
          <w:szCs w:val="24"/>
          <w:lang w:eastAsia="pt-BR"/>
        </w:rPr>
        <w:t>s) legal(</w:t>
      </w:r>
      <w:proofErr w:type="spellStart"/>
      <w:r w:rsidRPr="004F1F2B">
        <w:rPr>
          <w:rFonts w:ascii="Calibri" w:eastAsia="Times New Roman" w:hAnsi="Calibri" w:cs="Calibri"/>
          <w:sz w:val="24"/>
          <w:szCs w:val="24"/>
          <w:lang w:eastAsia="pt-BR"/>
        </w:rPr>
        <w:t>is</w:t>
      </w:r>
      <w:proofErr w:type="spellEnd"/>
      <w:r w:rsidRPr="004F1F2B">
        <w:rPr>
          <w:rFonts w:ascii="Calibri" w:eastAsia="Times New Roman" w:hAnsi="Calibri" w:cs="Calibri"/>
          <w:sz w:val="24"/>
          <w:szCs w:val="24"/>
          <w:lang w:eastAsia="pt-BR"/>
        </w:rPr>
        <w:t>) do(s) fornecedor(s) registrado(s)</w:t>
      </w:r>
    </w:p>
    <w:p w:rsidR="004F1F2B" w:rsidRPr="004F1F2B" w:rsidRDefault="004F1F2B" w:rsidP="004F1F2B">
      <w:pPr>
        <w:spacing w:after="0" w:line="240" w:lineRule="auto"/>
        <w:ind w:right="-30"/>
        <w:jc w:val="center"/>
        <w:rPr>
          <w:rFonts w:ascii="Times New Roman" w:eastAsia="Times New Roman" w:hAnsi="Times New Roman" w:cs="Times New Roman"/>
          <w:sz w:val="24"/>
          <w:szCs w:val="24"/>
          <w:lang w:eastAsia="pt-BR"/>
        </w:rPr>
      </w:pPr>
    </w:p>
    <w:p w:rsidR="004F1F2B" w:rsidRPr="004F1F2B" w:rsidRDefault="004F1F2B" w:rsidP="004F1F2B">
      <w:pPr>
        <w:spacing w:before="120" w:after="285" w:line="240" w:lineRule="auto"/>
        <w:ind w:firstLine="567"/>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TESTEMUNHAS:</w:t>
      </w:r>
    </w:p>
    <w:p w:rsidR="004F1F2B" w:rsidRPr="004F1F2B" w:rsidRDefault="004F1F2B" w:rsidP="004F1F2B">
      <w:pPr>
        <w:spacing w:before="120" w:after="285" w:line="240" w:lineRule="auto"/>
        <w:ind w:firstLine="567"/>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t>1-</w:t>
      </w:r>
    </w:p>
    <w:p w:rsidR="004F1F2B" w:rsidRPr="004F1F2B" w:rsidRDefault="004F1F2B" w:rsidP="004F1F2B">
      <w:pPr>
        <w:spacing w:after="0" w:line="240" w:lineRule="auto"/>
        <w:ind w:left="570" w:right="-30"/>
        <w:jc w:val="both"/>
        <w:rPr>
          <w:rFonts w:ascii="Times New Roman" w:eastAsia="Times New Roman" w:hAnsi="Times New Roman" w:cs="Times New Roman"/>
          <w:sz w:val="24"/>
          <w:szCs w:val="24"/>
          <w:lang w:eastAsia="pt-BR"/>
        </w:rPr>
      </w:pPr>
      <w:r w:rsidRPr="004F1F2B">
        <w:rPr>
          <w:rFonts w:ascii="Calibri" w:eastAsia="Times New Roman" w:hAnsi="Calibri" w:cs="Calibri"/>
          <w:sz w:val="24"/>
          <w:szCs w:val="24"/>
          <w:lang w:eastAsia="pt-BR"/>
        </w:rPr>
        <w:lastRenderedPageBreak/>
        <w:t>2-</w:t>
      </w:r>
    </w:p>
    <w:p w:rsidR="00227E1F" w:rsidRDefault="00227E1F"/>
    <w:sectPr w:rsidR="00227E1F">
      <w:headerReference w:type="default" r:id="rId13"/>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2F6" w:rsidRDefault="007B02F6" w:rsidP="004F1F2B">
      <w:pPr>
        <w:spacing w:after="0" w:line="240" w:lineRule="auto"/>
      </w:pPr>
      <w:r>
        <w:separator/>
      </w:r>
    </w:p>
  </w:endnote>
  <w:endnote w:type="continuationSeparator" w:id="0">
    <w:p w:rsidR="007B02F6" w:rsidRDefault="007B02F6" w:rsidP="004F1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F2B" w:rsidRDefault="004F1F2B">
    <w:pPr>
      <w:pStyle w:val="Rodap"/>
    </w:pPr>
    <w:r>
      <w:rPr>
        <w:noProof/>
        <w:lang w:eastAsia="pt-BR"/>
      </w:rPr>
      <w:drawing>
        <wp:inline distT="0" distB="0" distL="0" distR="0" wp14:anchorId="28BA3181" wp14:editId="0A09DDA9">
          <wp:extent cx="5400040" cy="308158"/>
          <wp:effectExtent l="0" t="0" r="0" b="0"/>
          <wp:docPr id="2" name="Picture 4" descr=":::::Desktop:Para papel timbrado 2012:rodape_timb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ktop:Para papel timbrado 2012:rodape_timbre.jpg"/>
                  <pic:cNvPicPr>
                    <a:picLocks noChangeAspect="1" noChangeArrowheads="1"/>
                  </pic:cNvPicPr>
                </pic:nvPicPr>
                <pic:blipFill rotWithShape="1">
                  <a:blip r:embed="rId1"/>
                  <a:srcRect b="25420"/>
                  <a:stretch/>
                </pic:blipFill>
                <pic:spPr bwMode="auto">
                  <a:xfrm>
                    <a:off x="0" y="0"/>
                    <a:ext cx="5400040" cy="308158"/>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2F6" w:rsidRDefault="007B02F6" w:rsidP="004F1F2B">
      <w:pPr>
        <w:spacing w:after="0" w:line="240" w:lineRule="auto"/>
      </w:pPr>
      <w:r>
        <w:separator/>
      </w:r>
    </w:p>
  </w:footnote>
  <w:footnote w:type="continuationSeparator" w:id="0">
    <w:p w:rsidR="007B02F6" w:rsidRDefault="007B02F6" w:rsidP="004F1F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F2B" w:rsidRDefault="004F1F2B">
    <w:pPr>
      <w:pStyle w:val="Cabealho"/>
    </w:pPr>
    <w:r w:rsidRPr="00820AA5">
      <w:rPr>
        <w:noProof/>
        <w:lang w:eastAsia="pt-BR"/>
      </w:rPr>
      <w:drawing>
        <wp:anchor distT="0" distB="0" distL="114300" distR="114300" simplePos="0" relativeHeight="251659264" behindDoc="0" locked="0" layoutInCell="1" allowOverlap="1" wp14:anchorId="76B38981" wp14:editId="60AEFF8A">
          <wp:simplePos x="0" y="0"/>
          <wp:positionH relativeFrom="margin">
            <wp:posOffset>-182880</wp:posOffset>
          </wp:positionH>
          <wp:positionV relativeFrom="margin">
            <wp:posOffset>-763270</wp:posOffset>
          </wp:positionV>
          <wp:extent cx="1707727" cy="645497"/>
          <wp:effectExtent l="0" t="0" r="6985" b="2540"/>
          <wp:wrapSquare wrapText="bothSides"/>
          <wp:docPr id="1" name="Picture 1" descr="FAPESP_completo az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PESP_completo azul.jpg"/>
                  <pic:cNvPicPr/>
                </pic:nvPicPr>
                <pic:blipFill>
                  <a:blip r:embed="rId1">
                    <a:extLst>
                      <a:ext uri="{28A0092B-C50C-407E-A947-70E740481C1C}">
                        <a14:useLocalDpi xmlns:a14="http://schemas.microsoft.com/office/drawing/2010/main" val="0"/>
                      </a:ext>
                    </a:extLst>
                  </a:blip>
                  <a:stretch>
                    <a:fillRect/>
                  </a:stretch>
                </pic:blipFill>
                <pic:spPr>
                  <a:xfrm>
                    <a:off x="0" y="0"/>
                    <a:ext cx="1707727" cy="64549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2932"/>
    <w:multiLevelType w:val="multilevel"/>
    <w:tmpl w:val="29BC62A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CB0BB2"/>
    <w:multiLevelType w:val="multilevel"/>
    <w:tmpl w:val="D9A409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02F53"/>
    <w:multiLevelType w:val="multilevel"/>
    <w:tmpl w:val="5B8EB2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94A14"/>
    <w:multiLevelType w:val="multilevel"/>
    <w:tmpl w:val="371EFC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AB0FF4"/>
    <w:multiLevelType w:val="multilevel"/>
    <w:tmpl w:val="6492B6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047365"/>
    <w:multiLevelType w:val="multilevel"/>
    <w:tmpl w:val="53D2F8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C034D1"/>
    <w:multiLevelType w:val="multilevel"/>
    <w:tmpl w:val="EA229C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8946A3"/>
    <w:multiLevelType w:val="multilevel"/>
    <w:tmpl w:val="3D28A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42205F"/>
    <w:multiLevelType w:val="multilevel"/>
    <w:tmpl w:val="25B057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AA4201"/>
    <w:multiLevelType w:val="multilevel"/>
    <w:tmpl w:val="42D2CA4C"/>
    <w:styleLink w:val="a1esequncias"/>
    <w:lvl w:ilvl="0">
      <w:start w:val="1"/>
      <w:numFmt w:val="none"/>
      <w:suff w:val="space"/>
      <w:lvlText w:val="a.1)"/>
      <w:lvlJc w:val="left"/>
      <w:pPr>
        <w:ind w:left="539" w:firstLine="44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4F97F73"/>
    <w:multiLevelType w:val="multilevel"/>
    <w:tmpl w:val="5D1EE1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B279F2"/>
    <w:multiLevelType w:val="multilevel"/>
    <w:tmpl w:val="1884BD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9E74A2"/>
    <w:multiLevelType w:val="multilevel"/>
    <w:tmpl w:val="95CE9F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2"/>
  </w:num>
  <w:num w:numId="4">
    <w:abstractNumId w:val="4"/>
  </w:num>
  <w:num w:numId="5">
    <w:abstractNumId w:val="8"/>
  </w:num>
  <w:num w:numId="6">
    <w:abstractNumId w:val="3"/>
  </w:num>
  <w:num w:numId="7">
    <w:abstractNumId w:val="6"/>
  </w:num>
  <w:num w:numId="8">
    <w:abstractNumId w:val="10"/>
  </w:num>
  <w:num w:numId="9">
    <w:abstractNumId w:val="5"/>
  </w:num>
  <w:num w:numId="10">
    <w:abstractNumId w:val="12"/>
  </w:num>
  <w:num w:numId="11">
    <w:abstractNumId w:val="1"/>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F2B"/>
    <w:rsid w:val="00227E1F"/>
    <w:rsid w:val="002813C7"/>
    <w:rsid w:val="003B0F70"/>
    <w:rsid w:val="004B1D45"/>
    <w:rsid w:val="004F1F2B"/>
    <w:rsid w:val="007B02F6"/>
    <w:rsid w:val="00954EFE"/>
    <w:rsid w:val="00F2145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D09FAC-8B84-4A58-ADE4-2B85049D8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a1esequncias">
    <w:name w:val="a.1) e sequências"/>
    <w:rsid w:val="004B1D45"/>
    <w:pPr>
      <w:numPr>
        <w:numId w:val="1"/>
      </w:numPr>
    </w:pPr>
  </w:style>
  <w:style w:type="paragraph" w:styleId="NormalWeb">
    <w:name w:val="Normal (Web)"/>
    <w:basedOn w:val="Normal"/>
    <w:uiPriority w:val="99"/>
    <w:semiHidden/>
    <w:unhideWhenUsed/>
    <w:rsid w:val="004F1F2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4F1F2B"/>
    <w:rPr>
      <w:color w:val="0000FF"/>
      <w:u w:val="single"/>
    </w:rPr>
  </w:style>
  <w:style w:type="character" w:styleId="HiperlinkVisitado">
    <w:name w:val="FollowedHyperlink"/>
    <w:basedOn w:val="Fontepargpadro"/>
    <w:uiPriority w:val="99"/>
    <w:semiHidden/>
    <w:unhideWhenUsed/>
    <w:rsid w:val="004F1F2B"/>
    <w:rPr>
      <w:color w:val="800080"/>
      <w:u w:val="single"/>
    </w:rPr>
  </w:style>
  <w:style w:type="character" w:styleId="Forte">
    <w:name w:val="Strong"/>
    <w:basedOn w:val="Fontepargpadro"/>
    <w:uiPriority w:val="22"/>
    <w:qFormat/>
    <w:rsid w:val="004F1F2B"/>
    <w:rPr>
      <w:b/>
      <w:bCs/>
    </w:rPr>
  </w:style>
  <w:style w:type="paragraph" w:styleId="Cabealho">
    <w:name w:val="header"/>
    <w:basedOn w:val="Normal"/>
    <w:link w:val="CabealhoChar"/>
    <w:uiPriority w:val="99"/>
    <w:unhideWhenUsed/>
    <w:rsid w:val="004F1F2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F1F2B"/>
  </w:style>
  <w:style w:type="paragraph" w:styleId="Rodap">
    <w:name w:val="footer"/>
    <w:basedOn w:val="Normal"/>
    <w:link w:val="RodapChar"/>
    <w:uiPriority w:val="99"/>
    <w:unhideWhenUsed/>
    <w:rsid w:val="004F1F2B"/>
    <w:pPr>
      <w:tabs>
        <w:tab w:val="center" w:pos="4252"/>
        <w:tab w:val="right" w:pos="8504"/>
      </w:tabs>
      <w:spacing w:after="0" w:line="240" w:lineRule="auto"/>
    </w:pPr>
  </w:style>
  <w:style w:type="character" w:customStyle="1" w:styleId="RodapChar">
    <w:name w:val="Rodapé Char"/>
    <w:basedOn w:val="Fontepargpadro"/>
    <w:link w:val="Rodap"/>
    <w:uiPriority w:val="99"/>
    <w:rsid w:val="004F1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622914">
      <w:bodyDiv w:val="1"/>
      <w:marLeft w:val="0"/>
      <w:marRight w:val="0"/>
      <w:marTop w:val="0"/>
      <w:marBottom w:val="0"/>
      <w:divBdr>
        <w:top w:val="none" w:sz="0" w:space="0" w:color="auto"/>
        <w:left w:val="none" w:sz="0" w:space="0" w:color="auto"/>
        <w:bottom w:val="none" w:sz="0" w:space="0" w:color="auto"/>
        <w:right w:val="none" w:sz="0" w:space="0" w:color="auto"/>
      </w:divBdr>
      <w:divsChild>
        <w:div w:id="362752839">
          <w:marLeft w:val="0"/>
          <w:marRight w:val="0"/>
          <w:marTop w:val="0"/>
          <w:marBottom w:val="0"/>
          <w:divBdr>
            <w:top w:val="none" w:sz="0" w:space="0" w:color="auto"/>
            <w:left w:val="none" w:sz="0" w:space="0" w:color="auto"/>
            <w:bottom w:val="none" w:sz="0" w:space="0" w:color="auto"/>
            <w:right w:val="none" w:sz="0" w:space="0" w:color="auto"/>
          </w:divBdr>
        </w:div>
        <w:div w:id="971403084">
          <w:marLeft w:val="0"/>
          <w:marRight w:val="0"/>
          <w:marTop w:val="0"/>
          <w:marBottom w:val="0"/>
          <w:divBdr>
            <w:top w:val="single" w:sz="8" w:space="1" w:color="1F497D"/>
            <w:left w:val="single" w:sz="8" w:space="4" w:color="1F497D"/>
            <w:bottom w:val="single" w:sz="8" w:space="1" w:color="1F497D"/>
            <w:right w:val="single" w:sz="8" w:space="4" w:color="1F497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_Ato2019-2022/2021/Lei/L14133.ht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3225</Words>
  <Characters>17417</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 Araújo dos Anjos</dc:creator>
  <cp:keywords/>
  <dc:description/>
  <cp:lastModifiedBy>Mateus Araújo dos Anjos</cp:lastModifiedBy>
  <cp:revision>2</cp:revision>
  <dcterms:created xsi:type="dcterms:W3CDTF">2024-06-11T16:07:00Z</dcterms:created>
  <dcterms:modified xsi:type="dcterms:W3CDTF">2024-06-11T16:07:00Z</dcterms:modified>
</cp:coreProperties>
</file>